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EF4A" w14:textId="083C9989" w:rsidR="00DA7340" w:rsidRPr="00C24707" w:rsidRDefault="00DA7340" w:rsidP="00DA7340">
      <w:pPr>
        <w:jc w:val="center"/>
        <w:rPr>
          <w:rFonts w:ascii="Bookman Old Style" w:hAnsi="Bookman Old Style"/>
          <w:b/>
          <w:bCs/>
          <w:sz w:val="44"/>
          <w:szCs w:val="44"/>
        </w:rPr>
      </w:pPr>
      <w:r w:rsidRPr="00C24707">
        <w:rPr>
          <w:rFonts w:ascii="Bookman Old Style" w:hAnsi="Bookman Old Style"/>
          <w:b/>
          <w:bCs/>
          <w:sz w:val="44"/>
          <w:szCs w:val="44"/>
        </w:rPr>
        <w:t>Notice About 202</w:t>
      </w:r>
      <w:r>
        <w:rPr>
          <w:rFonts w:ascii="Bookman Old Style" w:hAnsi="Bookman Old Style"/>
          <w:b/>
          <w:bCs/>
          <w:sz w:val="44"/>
          <w:szCs w:val="44"/>
        </w:rPr>
        <w:t>5</w:t>
      </w:r>
      <w:r w:rsidRPr="00C24707">
        <w:rPr>
          <w:rFonts w:ascii="Bookman Old Style" w:hAnsi="Bookman Old Style"/>
          <w:b/>
          <w:bCs/>
          <w:sz w:val="44"/>
          <w:szCs w:val="44"/>
        </w:rPr>
        <w:t xml:space="preserve"> Tax Rates</w:t>
      </w:r>
    </w:p>
    <w:p w14:paraId="4ED5C7FE" w14:textId="77777777" w:rsidR="00DA7340" w:rsidRPr="00C24707" w:rsidRDefault="00DA7340" w:rsidP="00DA7340">
      <w:pPr>
        <w:spacing w:after="80"/>
        <w:rPr>
          <w:rFonts w:ascii="Bookman Old Style" w:hAnsi="Bookman Old Style"/>
          <w:sz w:val="20"/>
          <w:szCs w:val="20"/>
        </w:rPr>
      </w:pPr>
      <w:r w:rsidRPr="00C24707">
        <w:rPr>
          <w:rFonts w:ascii="Bookman Old Style" w:hAnsi="Bookman Old Style"/>
          <w:sz w:val="20"/>
          <w:szCs w:val="20"/>
        </w:rPr>
        <w:t>Property Tax Rates in Deaf Smith County Hospital District (Hereford Regional Medical Center)</w:t>
      </w:r>
    </w:p>
    <w:p w14:paraId="7A663A81" w14:textId="37022789" w:rsidR="00DA7340" w:rsidRPr="00C24707" w:rsidRDefault="00DA7340" w:rsidP="00DA7340">
      <w:pPr>
        <w:spacing w:after="80"/>
        <w:rPr>
          <w:rFonts w:ascii="Bookman Old Style" w:hAnsi="Bookman Old Style"/>
          <w:sz w:val="20"/>
          <w:szCs w:val="20"/>
        </w:rPr>
      </w:pPr>
      <w:r w:rsidRPr="00C24707">
        <w:rPr>
          <w:rFonts w:ascii="Bookman Old Style" w:hAnsi="Bookman Old Style"/>
          <w:sz w:val="20"/>
          <w:szCs w:val="20"/>
        </w:rPr>
        <w:t>This notice concerns the 202</w:t>
      </w:r>
      <w:r>
        <w:rPr>
          <w:rFonts w:ascii="Bookman Old Style" w:hAnsi="Bookman Old Style"/>
          <w:sz w:val="20"/>
          <w:szCs w:val="20"/>
        </w:rPr>
        <w:t>5</w:t>
      </w:r>
      <w:r w:rsidRPr="00C24707">
        <w:rPr>
          <w:rFonts w:ascii="Bookman Old Style" w:hAnsi="Bookman Old Style"/>
          <w:sz w:val="20"/>
          <w:szCs w:val="20"/>
        </w:rPr>
        <w:t xml:space="preserve"> property tax rates for Deaf Smith County Hospital District.</w:t>
      </w:r>
    </w:p>
    <w:p w14:paraId="3EDF61E5" w14:textId="49E41CD4" w:rsidR="00DA7340" w:rsidRPr="00C24707" w:rsidRDefault="00DA7340" w:rsidP="00DA7340">
      <w:pPr>
        <w:spacing w:after="80"/>
        <w:rPr>
          <w:rFonts w:ascii="Bookman Old Style" w:hAnsi="Bookman Old Style"/>
          <w:sz w:val="20"/>
          <w:szCs w:val="20"/>
        </w:rPr>
      </w:pPr>
      <w:r w:rsidRPr="00C24707">
        <w:rPr>
          <w:rFonts w:ascii="Bookman Old Style" w:hAnsi="Bookman Old Style"/>
          <w:sz w:val="20"/>
          <w:szCs w:val="20"/>
        </w:rPr>
        <w:t>This notice provides information about two tax rates used in adopting the current tax year’s tax rate. The no-</w:t>
      </w:r>
      <w:proofErr w:type="gramStart"/>
      <w:r w:rsidRPr="00C24707">
        <w:rPr>
          <w:rFonts w:ascii="Bookman Old Style" w:hAnsi="Bookman Old Style"/>
          <w:sz w:val="20"/>
          <w:szCs w:val="20"/>
        </w:rPr>
        <w:t>new-revenue</w:t>
      </w:r>
      <w:proofErr w:type="gramEnd"/>
      <w:r w:rsidRPr="00C24707">
        <w:rPr>
          <w:rFonts w:ascii="Bookman Old Style" w:hAnsi="Bookman Old Style"/>
          <w:sz w:val="20"/>
          <w:szCs w:val="20"/>
        </w:rPr>
        <w:t xml:space="preserve"> tax rate </w:t>
      </w:r>
      <w:proofErr w:type="gramStart"/>
      <w:r w:rsidRPr="00C24707">
        <w:rPr>
          <w:rFonts w:ascii="Bookman Old Style" w:hAnsi="Bookman Old Style"/>
          <w:sz w:val="20"/>
          <w:szCs w:val="20"/>
        </w:rPr>
        <w:t>would</w:t>
      </w:r>
      <w:proofErr w:type="gramEnd"/>
      <w:r w:rsidRPr="00C24707">
        <w:rPr>
          <w:rFonts w:ascii="Bookman Old Style" w:hAnsi="Bookman Old Style"/>
          <w:sz w:val="20"/>
          <w:szCs w:val="20"/>
        </w:rPr>
        <w:t xml:space="preserve"> </w:t>
      </w:r>
      <w:r>
        <w:rPr>
          <w:rFonts w:ascii="Bookman Old Style" w:hAnsi="Bookman Old Style"/>
          <w:sz w:val="20"/>
          <w:szCs w:val="20"/>
        </w:rPr>
        <w:t>i</w:t>
      </w:r>
      <w:r w:rsidRPr="00C24707">
        <w:rPr>
          <w:rFonts w:ascii="Bookman Old Style" w:hAnsi="Bookman Old Style"/>
          <w:sz w:val="20"/>
          <w:szCs w:val="20"/>
        </w:rPr>
        <w:t>mpose the same amount of taxes as last year if you compare properties taxed in both years. In most cases,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p w14:paraId="1ABB71EC" w14:textId="0CC35E91" w:rsidR="00DA7340" w:rsidRPr="00C24707" w:rsidRDefault="00DA7340" w:rsidP="00DA7340">
      <w:pPr>
        <w:spacing w:after="80"/>
        <w:rPr>
          <w:rFonts w:ascii="Bookman Old Style" w:hAnsi="Bookman Old Style"/>
          <w:sz w:val="20"/>
          <w:szCs w:val="20"/>
        </w:rPr>
      </w:pPr>
      <w:r w:rsidRPr="00C24707">
        <w:rPr>
          <w:rFonts w:ascii="Bookman Old Style" w:hAnsi="Bookman Old Style"/>
          <w:b/>
          <w:bCs/>
          <w:sz w:val="20"/>
          <w:szCs w:val="20"/>
        </w:rPr>
        <w:t>This year’s no-new-revenue tax rate</w:t>
      </w:r>
      <w:r w:rsidRPr="00C24707">
        <w:rPr>
          <w:rFonts w:ascii="Bookman Old Style" w:hAnsi="Bookman Old Style"/>
          <w:sz w:val="20"/>
          <w:szCs w:val="20"/>
        </w:rPr>
        <w:t xml:space="preserve"> ............................................ $ 0.29</w:t>
      </w:r>
      <w:r>
        <w:rPr>
          <w:rFonts w:ascii="Bookman Old Style" w:hAnsi="Bookman Old Style"/>
          <w:sz w:val="20"/>
          <w:szCs w:val="20"/>
        </w:rPr>
        <w:t>7461</w:t>
      </w:r>
      <w:r w:rsidRPr="00C24707">
        <w:rPr>
          <w:rFonts w:ascii="Bookman Old Style" w:hAnsi="Bookman Old Style"/>
          <w:sz w:val="20"/>
          <w:szCs w:val="20"/>
        </w:rPr>
        <w:t>/$100</w:t>
      </w:r>
    </w:p>
    <w:p w14:paraId="240E3B82" w14:textId="30A85CD8" w:rsidR="00DA7340" w:rsidRPr="00C24707" w:rsidRDefault="00DA7340" w:rsidP="00DA7340">
      <w:pPr>
        <w:spacing w:after="80"/>
        <w:rPr>
          <w:rFonts w:ascii="Bookman Old Style" w:hAnsi="Bookman Old Style"/>
          <w:sz w:val="20"/>
          <w:szCs w:val="20"/>
        </w:rPr>
      </w:pPr>
      <w:r w:rsidRPr="00C24707">
        <w:rPr>
          <w:rFonts w:ascii="Bookman Old Style" w:hAnsi="Bookman Old Style"/>
          <w:b/>
          <w:bCs/>
          <w:sz w:val="20"/>
          <w:szCs w:val="20"/>
        </w:rPr>
        <w:t>This year’s voter-approval tax rate</w:t>
      </w:r>
      <w:r w:rsidRPr="00C24707">
        <w:rPr>
          <w:rFonts w:ascii="Bookman Old Style" w:hAnsi="Bookman Old Style"/>
          <w:sz w:val="20"/>
          <w:szCs w:val="20"/>
        </w:rPr>
        <w:t xml:space="preserve"> ............................................. $ 0.3</w:t>
      </w:r>
      <w:r>
        <w:rPr>
          <w:rFonts w:ascii="Bookman Old Style" w:hAnsi="Bookman Old Style"/>
          <w:sz w:val="20"/>
          <w:szCs w:val="20"/>
        </w:rPr>
        <w:t>14132</w:t>
      </w:r>
      <w:r w:rsidRPr="00C24707">
        <w:rPr>
          <w:rFonts w:ascii="Bookman Old Style" w:hAnsi="Bookman Old Style"/>
          <w:sz w:val="20"/>
          <w:szCs w:val="20"/>
        </w:rPr>
        <w:t>/$100</w:t>
      </w:r>
    </w:p>
    <w:p w14:paraId="510DBCB9" w14:textId="77777777" w:rsidR="00DA7340" w:rsidRPr="00C24707" w:rsidRDefault="00DA7340" w:rsidP="00DA7340">
      <w:pPr>
        <w:spacing w:after="80"/>
        <w:rPr>
          <w:rFonts w:ascii="Bookman Old Style" w:hAnsi="Bookman Old Style"/>
          <w:sz w:val="20"/>
          <w:szCs w:val="20"/>
        </w:rPr>
      </w:pPr>
      <w:r w:rsidRPr="00C24707">
        <w:rPr>
          <w:rFonts w:ascii="Bookman Old Style" w:hAnsi="Bookman Old Style"/>
          <w:sz w:val="20"/>
          <w:szCs w:val="20"/>
        </w:rPr>
        <w:t xml:space="preserve">To see the full calculations, please visit </w:t>
      </w:r>
      <w:r w:rsidRPr="00C24707">
        <w:rPr>
          <w:rFonts w:ascii="Bookman Old Style" w:hAnsi="Bookman Old Style"/>
          <w:i/>
          <w:iCs/>
          <w:sz w:val="20"/>
          <w:szCs w:val="20"/>
        </w:rPr>
        <w:t>https://deafsmith.countytaxrates.com</w:t>
      </w:r>
      <w:r w:rsidRPr="00C24707">
        <w:rPr>
          <w:rFonts w:ascii="Bookman Old Style" w:hAnsi="Bookman Old Style"/>
          <w:sz w:val="20"/>
          <w:szCs w:val="20"/>
        </w:rPr>
        <w:t xml:space="preserve"> for a copy of the Tax Rate Calculation Worksheet.</w:t>
      </w:r>
    </w:p>
    <w:p w14:paraId="170DDE86" w14:textId="77777777" w:rsidR="00DA7340" w:rsidRPr="00C24707" w:rsidRDefault="00DA7340" w:rsidP="00DA7340">
      <w:pPr>
        <w:spacing w:after="80"/>
        <w:rPr>
          <w:rFonts w:ascii="Bookman Old Style" w:hAnsi="Bookman Old Style"/>
          <w:b/>
          <w:bCs/>
          <w:sz w:val="20"/>
          <w:szCs w:val="20"/>
        </w:rPr>
      </w:pPr>
      <w:r w:rsidRPr="00C24707">
        <w:rPr>
          <w:rFonts w:ascii="Bookman Old Style" w:hAnsi="Bookman Old Style"/>
          <w:b/>
          <w:bCs/>
          <w:sz w:val="20"/>
          <w:szCs w:val="20"/>
        </w:rPr>
        <w:t>Unencumbered Fund Balances</w:t>
      </w:r>
    </w:p>
    <w:p w14:paraId="0A1E81F1" w14:textId="77777777" w:rsidR="00DA7340" w:rsidRPr="00C24707" w:rsidRDefault="00DA7340" w:rsidP="00DA7340">
      <w:pPr>
        <w:spacing w:after="80"/>
        <w:rPr>
          <w:rFonts w:ascii="Bookman Old Style" w:hAnsi="Bookman Old Style"/>
          <w:sz w:val="20"/>
          <w:szCs w:val="20"/>
        </w:rPr>
      </w:pPr>
      <w:r w:rsidRPr="00C24707">
        <w:rPr>
          <w:rFonts w:ascii="Bookman Old Style" w:hAnsi="Bookman Old Style"/>
          <w:sz w:val="20"/>
          <w:szCs w:val="20"/>
        </w:rPr>
        <w:t>The following estimated balances will be left in the taxing unit’s accounts at the end of the fiscal year. These balances are not encumbered by corresponding debt obligation.</w:t>
      </w:r>
    </w:p>
    <w:tbl>
      <w:tblPr>
        <w:tblW w:w="8545" w:type="dxa"/>
        <w:tblInd w:w="113" w:type="dxa"/>
        <w:tblLook w:val="04A0" w:firstRow="1" w:lastRow="0" w:firstColumn="1" w:lastColumn="0" w:noHBand="0" w:noVBand="1"/>
      </w:tblPr>
      <w:tblGrid>
        <w:gridCol w:w="4225"/>
        <w:gridCol w:w="4320"/>
      </w:tblGrid>
      <w:tr w:rsidR="00DA7340" w:rsidRPr="00260855" w14:paraId="607F57E9" w14:textId="77777777" w:rsidTr="00445F5B">
        <w:trPr>
          <w:trHeight w:val="315"/>
        </w:trPr>
        <w:tc>
          <w:tcPr>
            <w:tcW w:w="4225" w:type="dxa"/>
            <w:tcBorders>
              <w:top w:val="single" w:sz="4" w:space="0" w:color="auto"/>
              <w:left w:val="single" w:sz="4" w:space="0" w:color="auto"/>
              <w:bottom w:val="single" w:sz="4" w:space="0" w:color="auto"/>
              <w:right w:val="single" w:sz="4" w:space="0" w:color="auto"/>
            </w:tcBorders>
            <w:noWrap/>
            <w:vAlign w:val="bottom"/>
            <w:hideMark/>
          </w:tcPr>
          <w:p w14:paraId="4F6BA40F" w14:textId="77777777" w:rsidR="00DA7340" w:rsidRPr="00260855" w:rsidRDefault="00DA7340" w:rsidP="00445F5B">
            <w:pPr>
              <w:spacing w:after="80" w:line="240" w:lineRule="auto"/>
              <w:jc w:val="center"/>
              <w:rPr>
                <w:rFonts w:ascii="Bookman Old Style" w:eastAsia="Times New Roman" w:hAnsi="Bookman Old Style"/>
                <w:color w:val="000000"/>
                <w:sz w:val="20"/>
                <w:szCs w:val="20"/>
              </w:rPr>
            </w:pPr>
            <w:r w:rsidRPr="00260855">
              <w:rPr>
                <w:rFonts w:ascii="Bookman Old Style" w:eastAsia="Times New Roman" w:hAnsi="Bookman Old Style"/>
                <w:color w:val="000000"/>
                <w:sz w:val="20"/>
                <w:szCs w:val="20"/>
              </w:rPr>
              <w:t>Type of Fund</w:t>
            </w:r>
          </w:p>
        </w:tc>
        <w:tc>
          <w:tcPr>
            <w:tcW w:w="4320" w:type="dxa"/>
            <w:tcBorders>
              <w:top w:val="single" w:sz="4" w:space="0" w:color="auto"/>
              <w:left w:val="nil"/>
              <w:bottom w:val="single" w:sz="4" w:space="0" w:color="auto"/>
              <w:right w:val="single" w:sz="4" w:space="0" w:color="auto"/>
            </w:tcBorders>
            <w:noWrap/>
            <w:vAlign w:val="bottom"/>
            <w:hideMark/>
          </w:tcPr>
          <w:p w14:paraId="6F81C56A" w14:textId="77777777" w:rsidR="00DA7340" w:rsidRPr="00260855" w:rsidRDefault="00DA7340" w:rsidP="00445F5B">
            <w:pPr>
              <w:spacing w:after="80" w:line="240" w:lineRule="auto"/>
              <w:jc w:val="center"/>
              <w:rPr>
                <w:rFonts w:ascii="Bookman Old Style" w:eastAsia="Times New Roman" w:hAnsi="Bookman Old Style"/>
                <w:color w:val="000000"/>
                <w:sz w:val="20"/>
                <w:szCs w:val="20"/>
              </w:rPr>
            </w:pPr>
            <w:r w:rsidRPr="00260855">
              <w:rPr>
                <w:rFonts w:ascii="Bookman Old Style" w:eastAsia="Times New Roman" w:hAnsi="Bookman Old Style"/>
                <w:color w:val="000000"/>
                <w:sz w:val="20"/>
                <w:szCs w:val="20"/>
              </w:rPr>
              <w:t>Balance</w:t>
            </w:r>
          </w:p>
        </w:tc>
      </w:tr>
      <w:tr w:rsidR="00DA7340" w:rsidRPr="00260855" w14:paraId="6A7A72ED" w14:textId="77777777" w:rsidTr="00445F5B">
        <w:trPr>
          <w:trHeight w:val="315"/>
        </w:trPr>
        <w:tc>
          <w:tcPr>
            <w:tcW w:w="4225" w:type="dxa"/>
            <w:tcBorders>
              <w:top w:val="single" w:sz="4" w:space="0" w:color="auto"/>
              <w:left w:val="single" w:sz="4" w:space="0" w:color="auto"/>
              <w:bottom w:val="single" w:sz="4" w:space="0" w:color="auto"/>
              <w:right w:val="single" w:sz="4" w:space="0" w:color="auto"/>
            </w:tcBorders>
            <w:noWrap/>
            <w:vAlign w:val="bottom"/>
            <w:hideMark/>
          </w:tcPr>
          <w:p w14:paraId="105C6EC6" w14:textId="77777777" w:rsidR="00DA7340" w:rsidRPr="00260855" w:rsidRDefault="00DA7340" w:rsidP="00445F5B">
            <w:pPr>
              <w:spacing w:after="80" w:line="240" w:lineRule="auto"/>
              <w:jc w:val="center"/>
              <w:rPr>
                <w:rFonts w:ascii="Bookman Old Style" w:eastAsia="Times New Roman" w:hAnsi="Bookman Old Style"/>
                <w:color w:val="000000"/>
                <w:sz w:val="20"/>
                <w:szCs w:val="20"/>
              </w:rPr>
            </w:pPr>
            <w:r w:rsidRPr="00260855">
              <w:rPr>
                <w:rFonts w:ascii="Bookman Old Style" w:eastAsia="Times New Roman" w:hAnsi="Bookman Old Style"/>
                <w:color w:val="000000"/>
                <w:sz w:val="20"/>
                <w:szCs w:val="20"/>
              </w:rPr>
              <w:t> </w:t>
            </w:r>
          </w:p>
        </w:tc>
        <w:tc>
          <w:tcPr>
            <w:tcW w:w="4320" w:type="dxa"/>
            <w:tcBorders>
              <w:top w:val="single" w:sz="4" w:space="0" w:color="auto"/>
              <w:left w:val="nil"/>
              <w:bottom w:val="single" w:sz="4" w:space="0" w:color="auto"/>
              <w:right w:val="single" w:sz="4" w:space="0" w:color="auto"/>
            </w:tcBorders>
            <w:noWrap/>
            <w:vAlign w:val="bottom"/>
            <w:hideMark/>
          </w:tcPr>
          <w:p w14:paraId="45124F56" w14:textId="77777777" w:rsidR="00DA7340" w:rsidRPr="00260855" w:rsidRDefault="00DA7340" w:rsidP="00445F5B">
            <w:pPr>
              <w:spacing w:after="80" w:line="240" w:lineRule="auto"/>
              <w:jc w:val="center"/>
              <w:rPr>
                <w:rFonts w:ascii="Bookman Old Style" w:eastAsia="Times New Roman" w:hAnsi="Bookman Old Style"/>
                <w:color w:val="000000"/>
                <w:sz w:val="20"/>
                <w:szCs w:val="20"/>
              </w:rPr>
            </w:pPr>
            <w:r w:rsidRPr="00260855">
              <w:rPr>
                <w:rFonts w:ascii="Bookman Old Style" w:eastAsia="Times New Roman" w:hAnsi="Bookman Old Style"/>
                <w:color w:val="000000"/>
                <w:sz w:val="20"/>
                <w:szCs w:val="20"/>
              </w:rPr>
              <w:t> </w:t>
            </w:r>
          </w:p>
        </w:tc>
      </w:tr>
    </w:tbl>
    <w:p w14:paraId="7697E262" w14:textId="77777777" w:rsidR="00DA7340" w:rsidRPr="00C24707" w:rsidRDefault="00DA7340" w:rsidP="00DA7340">
      <w:pPr>
        <w:spacing w:after="80"/>
        <w:rPr>
          <w:rFonts w:ascii="Bookman Old Style" w:hAnsi="Bookman Old Style"/>
          <w:b/>
          <w:bCs/>
          <w:sz w:val="20"/>
          <w:szCs w:val="20"/>
        </w:rPr>
      </w:pPr>
    </w:p>
    <w:p w14:paraId="3BD4C635" w14:textId="77777777" w:rsidR="00DA7340" w:rsidRPr="00C24707" w:rsidRDefault="00DA7340" w:rsidP="00DA7340">
      <w:pPr>
        <w:spacing w:after="80"/>
        <w:rPr>
          <w:rFonts w:ascii="Bookman Old Style" w:hAnsi="Bookman Old Style"/>
          <w:b/>
          <w:bCs/>
          <w:sz w:val="20"/>
          <w:szCs w:val="20"/>
        </w:rPr>
      </w:pPr>
      <w:r w:rsidRPr="00C24707">
        <w:rPr>
          <w:rFonts w:ascii="Bookman Old Style" w:hAnsi="Bookman Old Style"/>
          <w:b/>
          <w:bCs/>
          <w:sz w:val="20"/>
          <w:szCs w:val="20"/>
        </w:rPr>
        <w:t>Current Year Debt Service</w:t>
      </w:r>
    </w:p>
    <w:p w14:paraId="6CC4BBCA" w14:textId="77777777" w:rsidR="00DA7340" w:rsidRPr="00C24707" w:rsidRDefault="00DA7340" w:rsidP="00DA7340">
      <w:pPr>
        <w:spacing w:after="80"/>
        <w:rPr>
          <w:rFonts w:ascii="Bookman Old Style" w:hAnsi="Bookman Old Style"/>
          <w:sz w:val="20"/>
          <w:szCs w:val="20"/>
        </w:rPr>
      </w:pPr>
      <w:r w:rsidRPr="00C24707">
        <w:rPr>
          <w:rFonts w:ascii="Bookman Old Style" w:hAnsi="Bookman Old Style"/>
          <w:sz w:val="20"/>
          <w:szCs w:val="20"/>
        </w:rPr>
        <w:t>The following amounts are for long-term debts that are secured by property taxes. These amounts will be paid from upcoming property tax revenues (or additional sales tax revenues, if applicable).</w:t>
      </w:r>
    </w:p>
    <w:tbl>
      <w:tblPr>
        <w:tblW w:w="9985" w:type="dxa"/>
        <w:tblInd w:w="113" w:type="dxa"/>
        <w:tblLook w:val="04A0" w:firstRow="1" w:lastRow="0" w:firstColumn="1" w:lastColumn="0" w:noHBand="0" w:noVBand="1"/>
      </w:tblPr>
      <w:tblGrid>
        <w:gridCol w:w="2245"/>
        <w:gridCol w:w="2880"/>
        <w:gridCol w:w="2160"/>
        <w:gridCol w:w="1440"/>
        <w:gridCol w:w="1337"/>
      </w:tblGrid>
      <w:tr w:rsidR="00DA7340" w:rsidRPr="00C24707" w14:paraId="47114FE3" w14:textId="77777777" w:rsidTr="00445F5B">
        <w:trPr>
          <w:trHeight w:val="953"/>
        </w:trPr>
        <w:tc>
          <w:tcPr>
            <w:tcW w:w="2245" w:type="dxa"/>
            <w:tcBorders>
              <w:top w:val="single" w:sz="4" w:space="0" w:color="auto"/>
              <w:left w:val="single" w:sz="4" w:space="0" w:color="auto"/>
              <w:bottom w:val="single" w:sz="4" w:space="0" w:color="auto"/>
              <w:right w:val="single" w:sz="4" w:space="0" w:color="auto"/>
            </w:tcBorders>
            <w:noWrap/>
            <w:vAlign w:val="bottom"/>
            <w:hideMark/>
          </w:tcPr>
          <w:p w14:paraId="52651ABC" w14:textId="77777777" w:rsidR="00DA7340" w:rsidRPr="009F427D" w:rsidRDefault="00DA7340" w:rsidP="00445F5B">
            <w:pPr>
              <w:spacing w:after="80" w:line="240" w:lineRule="auto"/>
              <w:jc w:val="center"/>
              <w:rPr>
                <w:rFonts w:ascii="Bookman Old Style" w:eastAsia="Times New Roman" w:hAnsi="Bookman Old Style"/>
                <w:b/>
                <w:bCs/>
                <w:color w:val="000000"/>
                <w:sz w:val="20"/>
                <w:szCs w:val="20"/>
              </w:rPr>
            </w:pPr>
            <w:r w:rsidRPr="009F427D">
              <w:rPr>
                <w:rFonts w:ascii="Bookman Old Style" w:eastAsia="Times New Roman" w:hAnsi="Bookman Old Style"/>
                <w:b/>
                <w:bCs/>
                <w:color w:val="000000"/>
                <w:sz w:val="20"/>
                <w:szCs w:val="20"/>
              </w:rPr>
              <w:t>Description of Debt</w:t>
            </w:r>
          </w:p>
        </w:tc>
        <w:tc>
          <w:tcPr>
            <w:tcW w:w="2880" w:type="dxa"/>
            <w:tcBorders>
              <w:top w:val="single" w:sz="4" w:space="0" w:color="auto"/>
              <w:left w:val="nil"/>
              <w:bottom w:val="single" w:sz="4" w:space="0" w:color="auto"/>
              <w:right w:val="single" w:sz="4" w:space="0" w:color="auto"/>
            </w:tcBorders>
            <w:vAlign w:val="bottom"/>
            <w:hideMark/>
          </w:tcPr>
          <w:p w14:paraId="0BBF7CEF" w14:textId="77777777" w:rsidR="00DA7340" w:rsidRPr="009F427D" w:rsidRDefault="00DA7340" w:rsidP="00445F5B">
            <w:pPr>
              <w:spacing w:after="80" w:line="240" w:lineRule="auto"/>
              <w:jc w:val="center"/>
              <w:rPr>
                <w:rFonts w:ascii="Bookman Old Style" w:eastAsia="Times New Roman" w:hAnsi="Bookman Old Style"/>
                <w:b/>
                <w:bCs/>
                <w:color w:val="000000"/>
                <w:sz w:val="20"/>
                <w:szCs w:val="20"/>
              </w:rPr>
            </w:pPr>
            <w:r w:rsidRPr="009F427D">
              <w:rPr>
                <w:rFonts w:ascii="Bookman Old Style" w:eastAsia="Times New Roman" w:hAnsi="Bookman Old Style"/>
                <w:b/>
                <w:bCs/>
                <w:color w:val="000000"/>
                <w:sz w:val="20"/>
                <w:szCs w:val="20"/>
              </w:rPr>
              <w:t>Principal or Contract Payment to be paid from Property Taxes</w:t>
            </w:r>
          </w:p>
        </w:tc>
        <w:tc>
          <w:tcPr>
            <w:tcW w:w="2160" w:type="dxa"/>
            <w:tcBorders>
              <w:top w:val="single" w:sz="4" w:space="0" w:color="auto"/>
              <w:left w:val="nil"/>
              <w:bottom w:val="single" w:sz="4" w:space="0" w:color="auto"/>
              <w:right w:val="single" w:sz="4" w:space="0" w:color="auto"/>
            </w:tcBorders>
            <w:vAlign w:val="bottom"/>
            <w:hideMark/>
          </w:tcPr>
          <w:p w14:paraId="4C28A01C" w14:textId="77777777" w:rsidR="00DA7340" w:rsidRPr="009F427D" w:rsidRDefault="00DA7340" w:rsidP="00445F5B">
            <w:pPr>
              <w:spacing w:after="80" w:line="240" w:lineRule="auto"/>
              <w:rPr>
                <w:rFonts w:ascii="Bookman Old Style" w:eastAsia="Times New Roman" w:hAnsi="Bookman Old Style"/>
                <w:b/>
                <w:bCs/>
                <w:color w:val="000000"/>
                <w:sz w:val="20"/>
                <w:szCs w:val="20"/>
              </w:rPr>
            </w:pPr>
            <w:r w:rsidRPr="009F427D">
              <w:rPr>
                <w:rFonts w:ascii="Bookman Old Style" w:eastAsia="Times New Roman" w:hAnsi="Bookman Old Style"/>
                <w:b/>
                <w:bCs/>
                <w:color w:val="000000"/>
                <w:sz w:val="20"/>
                <w:szCs w:val="20"/>
              </w:rPr>
              <w:t xml:space="preserve">Interest to be Paid </w:t>
            </w:r>
            <w:proofErr w:type="gramStart"/>
            <w:r w:rsidRPr="009F427D">
              <w:rPr>
                <w:rFonts w:ascii="Bookman Old Style" w:eastAsia="Times New Roman" w:hAnsi="Bookman Old Style"/>
                <w:b/>
                <w:bCs/>
                <w:color w:val="000000"/>
                <w:sz w:val="20"/>
                <w:szCs w:val="20"/>
              </w:rPr>
              <w:t>From</w:t>
            </w:r>
            <w:proofErr w:type="gramEnd"/>
            <w:r w:rsidRPr="009F427D">
              <w:rPr>
                <w:rFonts w:ascii="Bookman Old Style" w:eastAsia="Times New Roman" w:hAnsi="Bookman Old Style"/>
                <w:b/>
                <w:bCs/>
                <w:color w:val="000000"/>
                <w:sz w:val="20"/>
                <w:szCs w:val="20"/>
              </w:rPr>
              <w:t xml:space="preserve"> Property Taxes</w:t>
            </w:r>
          </w:p>
        </w:tc>
        <w:tc>
          <w:tcPr>
            <w:tcW w:w="1440" w:type="dxa"/>
            <w:tcBorders>
              <w:top w:val="single" w:sz="4" w:space="0" w:color="auto"/>
              <w:left w:val="nil"/>
              <w:bottom w:val="single" w:sz="4" w:space="0" w:color="auto"/>
              <w:right w:val="single" w:sz="4" w:space="0" w:color="auto"/>
            </w:tcBorders>
            <w:vAlign w:val="bottom"/>
            <w:hideMark/>
          </w:tcPr>
          <w:p w14:paraId="4D93305B" w14:textId="77777777" w:rsidR="00DA7340" w:rsidRPr="009F427D" w:rsidRDefault="00DA7340" w:rsidP="00445F5B">
            <w:pPr>
              <w:spacing w:after="80" w:line="240" w:lineRule="auto"/>
              <w:rPr>
                <w:rFonts w:ascii="Bookman Old Style" w:eastAsia="Times New Roman" w:hAnsi="Bookman Old Style"/>
                <w:b/>
                <w:bCs/>
                <w:color w:val="000000"/>
                <w:sz w:val="20"/>
                <w:szCs w:val="20"/>
              </w:rPr>
            </w:pPr>
            <w:r w:rsidRPr="009F427D">
              <w:rPr>
                <w:rFonts w:ascii="Bookman Old Style" w:eastAsia="Times New Roman" w:hAnsi="Bookman Old Style"/>
                <w:b/>
                <w:bCs/>
                <w:color w:val="000000"/>
                <w:sz w:val="20"/>
                <w:szCs w:val="20"/>
              </w:rPr>
              <w:t xml:space="preserve">Other Amounts To be Paid </w:t>
            </w:r>
          </w:p>
        </w:tc>
        <w:tc>
          <w:tcPr>
            <w:tcW w:w="1260" w:type="dxa"/>
            <w:tcBorders>
              <w:top w:val="single" w:sz="4" w:space="0" w:color="auto"/>
              <w:left w:val="nil"/>
              <w:bottom w:val="single" w:sz="4" w:space="0" w:color="auto"/>
              <w:right w:val="single" w:sz="4" w:space="0" w:color="auto"/>
            </w:tcBorders>
            <w:vAlign w:val="center"/>
            <w:hideMark/>
          </w:tcPr>
          <w:p w14:paraId="22B2F943" w14:textId="77777777" w:rsidR="00DA7340" w:rsidRPr="009F427D" w:rsidRDefault="00DA7340" w:rsidP="00445F5B">
            <w:pPr>
              <w:spacing w:after="80" w:line="240" w:lineRule="auto"/>
              <w:jc w:val="center"/>
              <w:rPr>
                <w:rFonts w:ascii="Bookman Old Style" w:eastAsia="Times New Roman" w:hAnsi="Bookman Old Style"/>
                <w:b/>
                <w:bCs/>
                <w:color w:val="000000"/>
                <w:sz w:val="20"/>
                <w:szCs w:val="20"/>
              </w:rPr>
            </w:pPr>
            <w:r w:rsidRPr="009F427D">
              <w:rPr>
                <w:rFonts w:ascii="Bookman Old Style" w:eastAsia="Times New Roman" w:hAnsi="Bookman Old Style"/>
                <w:b/>
                <w:bCs/>
                <w:color w:val="000000"/>
                <w:sz w:val="20"/>
                <w:szCs w:val="20"/>
              </w:rPr>
              <w:t>Total Payment</w:t>
            </w:r>
          </w:p>
        </w:tc>
      </w:tr>
      <w:tr w:rsidR="00DA7340" w:rsidRPr="00C24707" w14:paraId="0565C4AF" w14:textId="77777777" w:rsidTr="00445F5B">
        <w:trPr>
          <w:trHeight w:val="315"/>
        </w:trPr>
        <w:tc>
          <w:tcPr>
            <w:tcW w:w="2245" w:type="dxa"/>
            <w:tcBorders>
              <w:top w:val="nil"/>
              <w:left w:val="single" w:sz="4" w:space="0" w:color="auto"/>
              <w:bottom w:val="single" w:sz="4" w:space="0" w:color="auto"/>
              <w:right w:val="single" w:sz="4" w:space="0" w:color="auto"/>
            </w:tcBorders>
            <w:noWrap/>
            <w:vAlign w:val="bottom"/>
            <w:hideMark/>
          </w:tcPr>
          <w:p w14:paraId="7E329B6A" w14:textId="77777777" w:rsidR="00DA7340" w:rsidRPr="009F427D" w:rsidRDefault="00DA7340" w:rsidP="00445F5B">
            <w:pPr>
              <w:spacing w:after="80" w:line="240" w:lineRule="auto"/>
              <w:rPr>
                <w:rFonts w:ascii="Bookman Old Style" w:eastAsia="Times New Roman" w:hAnsi="Bookman Old Style"/>
                <w:color w:val="000000"/>
                <w:sz w:val="20"/>
                <w:szCs w:val="20"/>
              </w:rPr>
            </w:pPr>
            <w:r w:rsidRPr="009F427D">
              <w:rPr>
                <w:rFonts w:ascii="Bookman Old Style" w:eastAsia="Times New Roman" w:hAnsi="Bookman Old Style"/>
                <w:color w:val="000000"/>
                <w:sz w:val="20"/>
                <w:szCs w:val="20"/>
              </w:rPr>
              <w:t>Property Tax Debt</w:t>
            </w:r>
          </w:p>
        </w:tc>
        <w:tc>
          <w:tcPr>
            <w:tcW w:w="2880" w:type="dxa"/>
            <w:tcBorders>
              <w:top w:val="nil"/>
              <w:left w:val="nil"/>
              <w:bottom w:val="single" w:sz="4" w:space="0" w:color="auto"/>
              <w:right w:val="single" w:sz="4" w:space="0" w:color="auto"/>
            </w:tcBorders>
            <w:noWrap/>
            <w:vAlign w:val="bottom"/>
            <w:hideMark/>
          </w:tcPr>
          <w:p w14:paraId="76813D8C" w14:textId="77777777" w:rsidR="00DA7340" w:rsidRPr="009F427D" w:rsidRDefault="00DA7340" w:rsidP="00445F5B">
            <w:pPr>
              <w:spacing w:after="80" w:line="240" w:lineRule="auto"/>
              <w:rPr>
                <w:rFonts w:ascii="Bookman Old Style" w:eastAsia="Times New Roman" w:hAnsi="Bookman Old Style"/>
                <w:color w:val="000000"/>
                <w:sz w:val="20"/>
                <w:szCs w:val="20"/>
              </w:rPr>
            </w:pPr>
            <w:r w:rsidRPr="009F427D">
              <w:rPr>
                <w:rFonts w:ascii="Bookman Old Style" w:eastAsia="Times New Roman" w:hAnsi="Bookman Old Style"/>
                <w:color w:val="000000"/>
                <w:sz w:val="20"/>
                <w:szCs w:val="20"/>
              </w:rPr>
              <w:t> </w:t>
            </w:r>
          </w:p>
        </w:tc>
        <w:tc>
          <w:tcPr>
            <w:tcW w:w="2160" w:type="dxa"/>
            <w:tcBorders>
              <w:top w:val="nil"/>
              <w:left w:val="nil"/>
              <w:bottom w:val="single" w:sz="4" w:space="0" w:color="auto"/>
              <w:right w:val="single" w:sz="4" w:space="0" w:color="auto"/>
            </w:tcBorders>
            <w:noWrap/>
            <w:vAlign w:val="bottom"/>
            <w:hideMark/>
          </w:tcPr>
          <w:p w14:paraId="5723106E" w14:textId="77777777" w:rsidR="00DA7340" w:rsidRPr="009F427D" w:rsidRDefault="00DA7340" w:rsidP="00445F5B">
            <w:pPr>
              <w:spacing w:after="80" w:line="240" w:lineRule="auto"/>
              <w:rPr>
                <w:rFonts w:ascii="Bookman Old Style" w:eastAsia="Times New Roman" w:hAnsi="Bookman Old Style"/>
                <w:color w:val="000000"/>
                <w:sz w:val="20"/>
                <w:szCs w:val="20"/>
              </w:rPr>
            </w:pPr>
            <w:r w:rsidRPr="009F427D">
              <w:rPr>
                <w:rFonts w:ascii="Bookman Old Style" w:eastAsia="Times New Roman" w:hAnsi="Bookman Old Style"/>
                <w:color w:val="000000"/>
                <w:sz w:val="20"/>
                <w:szCs w:val="20"/>
              </w:rPr>
              <w:t> </w:t>
            </w:r>
          </w:p>
        </w:tc>
        <w:tc>
          <w:tcPr>
            <w:tcW w:w="1440" w:type="dxa"/>
            <w:tcBorders>
              <w:top w:val="nil"/>
              <w:left w:val="nil"/>
              <w:bottom w:val="single" w:sz="4" w:space="0" w:color="auto"/>
              <w:right w:val="single" w:sz="4" w:space="0" w:color="auto"/>
            </w:tcBorders>
            <w:noWrap/>
            <w:vAlign w:val="bottom"/>
            <w:hideMark/>
          </w:tcPr>
          <w:p w14:paraId="773A2D71" w14:textId="77777777" w:rsidR="00DA7340" w:rsidRPr="009F427D" w:rsidRDefault="00DA7340" w:rsidP="00445F5B">
            <w:pPr>
              <w:spacing w:after="80" w:line="240" w:lineRule="auto"/>
              <w:rPr>
                <w:rFonts w:ascii="Bookman Old Style" w:eastAsia="Times New Roman" w:hAnsi="Bookman Old Style"/>
                <w:color w:val="000000"/>
                <w:sz w:val="20"/>
                <w:szCs w:val="20"/>
              </w:rPr>
            </w:pPr>
            <w:r w:rsidRPr="009F427D">
              <w:rPr>
                <w:rFonts w:ascii="Bookman Old Style" w:eastAsia="Times New Roman" w:hAnsi="Bookman Old Style"/>
                <w:color w:val="000000"/>
                <w:sz w:val="20"/>
                <w:szCs w:val="20"/>
              </w:rPr>
              <w:t> </w:t>
            </w:r>
          </w:p>
        </w:tc>
        <w:tc>
          <w:tcPr>
            <w:tcW w:w="1260" w:type="dxa"/>
            <w:tcBorders>
              <w:top w:val="nil"/>
              <w:left w:val="nil"/>
              <w:bottom w:val="single" w:sz="4" w:space="0" w:color="auto"/>
              <w:right w:val="single" w:sz="4" w:space="0" w:color="auto"/>
            </w:tcBorders>
            <w:noWrap/>
            <w:vAlign w:val="bottom"/>
            <w:hideMark/>
          </w:tcPr>
          <w:p w14:paraId="0DEE2DF5" w14:textId="0B36E380" w:rsidR="00DA7340" w:rsidRPr="009F427D" w:rsidRDefault="00DA7340" w:rsidP="00445F5B">
            <w:pPr>
              <w:spacing w:after="80" w:line="240" w:lineRule="auto"/>
              <w:jc w:val="right"/>
              <w:rPr>
                <w:rFonts w:ascii="Bookman Old Style" w:eastAsia="Times New Roman" w:hAnsi="Bookman Old Style"/>
                <w:color w:val="000000"/>
                <w:sz w:val="20"/>
                <w:szCs w:val="20"/>
              </w:rPr>
            </w:pPr>
            <w:r w:rsidRPr="009F427D">
              <w:rPr>
                <w:rFonts w:ascii="Bookman Old Style" w:eastAsia="Times New Roman" w:hAnsi="Bookman Old Style"/>
                <w:color w:val="000000"/>
                <w:sz w:val="20"/>
                <w:szCs w:val="20"/>
              </w:rPr>
              <w:t>$1,8</w:t>
            </w:r>
            <w:r>
              <w:rPr>
                <w:rFonts w:ascii="Bookman Old Style" w:eastAsia="Times New Roman" w:hAnsi="Bookman Old Style"/>
                <w:color w:val="000000"/>
                <w:sz w:val="20"/>
                <w:szCs w:val="20"/>
              </w:rPr>
              <w:t>07</w:t>
            </w:r>
            <w:r w:rsidRPr="009F427D">
              <w:rPr>
                <w:rFonts w:ascii="Bookman Old Style" w:eastAsia="Times New Roman" w:hAnsi="Bookman Old Style"/>
                <w:color w:val="000000"/>
                <w:sz w:val="20"/>
                <w:szCs w:val="20"/>
              </w:rPr>
              <w:t>,</w:t>
            </w:r>
            <w:r>
              <w:rPr>
                <w:rFonts w:ascii="Bookman Old Style" w:eastAsia="Times New Roman" w:hAnsi="Bookman Old Style"/>
                <w:color w:val="000000"/>
                <w:sz w:val="20"/>
                <w:szCs w:val="20"/>
              </w:rPr>
              <w:t>963</w:t>
            </w:r>
            <w:r w:rsidRPr="009F427D">
              <w:rPr>
                <w:rFonts w:ascii="Bookman Old Style" w:eastAsia="Times New Roman" w:hAnsi="Bookman Old Style"/>
                <w:color w:val="000000"/>
                <w:sz w:val="20"/>
                <w:szCs w:val="20"/>
              </w:rPr>
              <w:t xml:space="preserve"> </w:t>
            </w:r>
          </w:p>
        </w:tc>
      </w:tr>
    </w:tbl>
    <w:p w14:paraId="2C37154A" w14:textId="77777777" w:rsidR="00DA7340" w:rsidRPr="00C24707" w:rsidRDefault="00DA7340" w:rsidP="00DA7340">
      <w:pPr>
        <w:spacing w:after="80"/>
        <w:rPr>
          <w:rFonts w:ascii="Bookman Old Style" w:hAnsi="Bookman Old Style"/>
          <w:sz w:val="20"/>
          <w:szCs w:val="20"/>
        </w:rPr>
      </w:pPr>
    </w:p>
    <w:p w14:paraId="583875B3" w14:textId="1FF3C613" w:rsidR="00DA7340" w:rsidRPr="00C24707" w:rsidRDefault="00DA7340" w:rsidP="00DA7340">
      <w:pPr>
        <w:spacing w:after="80"/>
        <w:ind w:firstLine="720"/>
        <w:rPr>
          <w:rFonts w:ascii="Bookman Old Style" w:hAnsi="Bookman Old Style"/>
          <w:sz w:val="20"/>
          <w:szCs w:val="20"/>
        </w:rPr>
      </w:pPr>
      <w:r w:rsidRPr="00C24707">
        <w:rPr>
          <w:rFonts w:ascii="Bookman Old Style" w:hAnsi="Bookman Old Style"/>
          <w:sz w:val="20"/>
          <w:szCs w:val="20"/>
        </w:rPr>
        <w:t>Total required for 2024 debt service ............................................................... $ 1,8</w:t>
      </w:r>
      <w:r>
        <w:rPr>
          <w:rFonts w:ascii="Bookman Old Style" w:hAnsi="Bookman Old Style"/>
          <w:sz w:val="20"/>
          <w:szCs w:val="20"/>
        </w:rPr>
        <w:t>07</w:t>
      </w:r>
      <w:r w:rsidRPr="00C24707">
        <w:rPr>
          <w:rFonts w:ascii="Bookman Old Style" w:hAnsi="Bookman Old Style"/>
          <w:sz w:val="20"/>
          <w:szCs w:val="20"/>
        </w:rPr>
        <w:t>,9</w:t>
      </w:r>
      <w:r>
        <w:rPr>
          <w:rFonts w:ascii="Bookman Old Style" w:hAnsi="Bookman Old Style"/>
          <w:sz w:val="20"/>
          <w:szCs w:val="20"/>
        </w:rPr>
        <w:t>63</w:t>
      </w:r>
    </w:p>
    <w:p w14:paraId="09082840" w14:textId="77777777" w:rsidR="00DA7340" w:rsidRPr="00C24707" w:rsidRDefault="00DA7340" w:rsidP="00DA7340">
      <w:pPr>
        <w:spacing w:after="80"/>
        <w:ind w:firstLine="720"/>
        <w:rPr>
          <w:rFonts w:ascii="Bookman Old Style" w:hAnsi="Bookman Old Style"/>
          <w:sz w:val="20"/>
          <w:szCs w:val="20"/>
        </w:rPr>
      </w:pPr>
      <w:r w:rsidRPr="00C24707">
        <w:rPr>
          <w:rFonts w:ascii="Bookman Old Style" w:hAnsi="Bookman Old Style"/>
          <w:sz w:val="20"/>
          <w:szCs w:val="20"/>
        </w:rPr>
        <w:t>– Amount (if any) paid from funds listed in unencumbered funds ............</w:t>
      </w:r>
      <w:r>
        <w:rPr>
          <w:rFonts w:ascii="Bookman Old Style" w:hAnsi="Bookman Old Style"/>
          <w:sz w:val="20"/>
          <w:szCs w:val="20"/>
        </w:rPr>
        <w:t>.</w:t>
      </w:r>
      <w:r w:rsidRPr="00C24707">
        <w:rPr>
          <w:rFonts w:ascii="Bookman Old Style" w:hAnsi="Bookman Old Style"/>
          <w:sz w:val="20"/>
          <w:szCs w:val="20"/>
        </w:rPr>
        <w:t>...... $ 0</w:t>
      </w:r>
    </w:p>
    <w:p w14:paraId="18FCD906" w14:textId="77777777" w:rsidR="00DA7340" w:rsidRPr="00C24707" w:rsidRDefault="00DA7340" w:rsidP="00DA7340">
      <w:pPr>
        <w:spacing w:after="80"/>
        <w:ind w:firstLine="720"/>
        <w:rPr>
          <w:rFonts w:ascii="Bookman Old Style" w:hAnsi="Bookman Old Style"/>
          <w:sz w:val="20"/>
          <w:szCs w:val="20"/>
        </w:rPr>
      </w:pPr>
      <w:r w:rsidRPr="00C24707">
        <w:rPr>
          <w:rFonts w:ascii="Bookman Old Style" w:hAnsi="Bookman Old Style"/>
          <w:sz w:val="20"/>
          <w:szCs w:val="20"/>
        </w:rPr>
        <w:t>– Amount (if any) paid from other resources ................................................... $ 0</w:t>
      </w:r>
    </w:p>
    <w:p w14:paraId="371E7061" w14:textId="01919873" w:rsidR="00DA7340" w:rsidRPr="00C24707" w:rsidRDefault="00DA7340" w:rsidP="00DA7340">
      <w:pPr>
        <w:spacing w:after="80"/>
        <w:ind w:firstLine="720"/>
        <w:rPr>
          <w:rFonts w:ascii="Bookman Old Style" w:hAnsi="Bookman Old Style"/>
          <w:sz w:val="20"/>
          <w:szCs w:val="20"/>
        </w:rPr>
      </w:pPr>
      <w:r w:rsidRPr="00C24707">
        <w:rPr>
          <w:rFonts w:ascii="Bookman Old Style" w:hAnsi="Bookman Old Style"/>
          <w:sz w:val="20"/>
          <w:szCs w:val="20"/>
        </w:rPr>
        <w:t xml:space="preserve">– Excess collections last year .......................................................................... $ </w:t>
      </w:r>
      <w:r>
        <w:rPr>
          <w:rFonts w:ascii="Bookman Old Style" w:hAnsi="Bookman Old Style"/>
          <w:sz w:val="20"/>
          <w:szCs w:val="20"/>
        </w:rPr>
        <w:t>21</w:t>
      </w:r>
      <w:r w:rsidRPr="00C24707">
        <w:rPr>
          <w:rFonts w:ascii="Bookman Old Style" w:hAnsi="Bookman Old Style"/>
          <w:sz w:val="20"/>
          <w:szCs w:val="20"/>
        </w:rPr>
        <w:t>,</w:t>
      </w:r>
      <w:r>
        <w:rPr>
          <w:rFonts w:ascii="Bookman Old Style" w:hAnsi="Bookman Old Style"/>
          <w:sz w:val="20"/>
          <w:szCs w:val="20"/>
        </w:rPr>
        <w:t>753</w:t>
      </w:r>
    </w:p>
    <w:p w14:paraId="25CA11BB" w14:textId="1284FF48" w:rsidR="00DA7340" w:rsidRPr="00C24707" w:rsidRDefault="00DA7340" w:rsidP="00DA7340">
      <w:pPr>
        <w:spacing w:after="80"/>
        <w:ind w:left="720" w:firstLine="720"/>
        <w:rPr>
          <w:rFonts w:ascii="Bookman Old Style" w:hAnsi="Bookman Old Style"/>
          <w:sz w:val="20"/>
          <w:szCs w:val="20"/>
        </w:rPr>
      </w:pPr>
      <w:r w:rsidRPr="00C24707">
        <w:rPr>
          <w:rFonts w:ascii="Bookman Old Style" w:hAnsi="Bookman Old Style"/>
          <w:sz w:val="20"/>
          <w:szCs w:val="20"/>
        </w:rPr>
        <w:t>= Total to be paid from taxes in 2024 ...................................</w:t>
      </w:r>
      <w:r>
        <w:rPr>
          <w:rFonts w:ascii="Bookman Old Style" w:hAnsi="Bookman Old Style"/>
          <w:sz w:val="20"/>
          <w:szCs w:val="20"/>
        </w:rPr>
        <w:t>...</w:t>
      </w:r>
      <w:r w:rsidRPr="00C24707">
        <w:rPr>
          <w:rFonts w:ascii="Bookman Old Style" w:hAnsi="Bookman Old Style"/>
          <w:sz w:val="20"/>
          <w:szCs w:val="20"/>
        </w:rPr>
        <w:t>........... $ 1,7</w:t>
      </w:r>
      <w:r>
        <w:rPr>
          <w:rFonts w:ascii="Bookman Old Style" w:hAnsi="Bookman Old Style"/>
          <w:sz w:val="20"/>
          <w:szCs w:val="20"/>
        </w:rPr>
        <w:t>86</w:t>
      </w:r>
      <w:r w:rsidRPr="00C24707">
        <w:rPr>
          <w:rFonts w:ascii="Bookman Old Style" w:hAnsi="Bookman Old Style"/>
          <w:sz w:val="20"/>
          <w:szCs w:val="20"/>
        </w:rPr>
        <w:t>,</w:t>
      </w:r>
      <w:r>
        <w:rPr>
          <w:rFonts w:ascii="Bookman Old Style" w:hAnsi="Bookman Old Style"/>
          <w:sz w:val="20"/>
          <w:szCs w:val="20"/>
        </w:rPr>
        <w:t>210</w:t>
      </w:r>
    </w:p>
    <w:p w14:paraId="5416FA44" w14:textId="77777777" w:rsidR="00DA7340" w:rsidRPr="00C24707" w:rsidRDefault="00DA7340" w:rsidP="00DA7340">
      <w:pPr>
        <w:spacing w:after="80"/>
        <w:ind w:left="720" w:firstLine="720"/>
        <w:rPr>
          <w:rFonts w:ascii="Bookman Old Style" w:hAnsi="Bookman Old Style"/>
          <w:sz w:val="20"/>
          <w:szCs w:val="20"/>
        </w:rPr>
      </w:pPr>
      <w:r w:rsidRPr="00C24707">
        <w:rPr>
          <w:rFonts w:ascii="Bookman Old Style" w:hAnsi="Bookman Old Style"/>
          <w:sz w:val="20"/>
          <w:szCs w:val="20"/>
        </w:rPr>
        <w:t xml:space="preserve">+ Amount added in anticipation that the taxing unit will collect </w:t>
      </w:r>
    </w:p>
    <w:p w14:paraId="108BD98C" w14:textId="77777777" w:rsidR="00DA7340" w:rsidRPr="00C24707" w:rsidRDefault="00DA7340" w:rsidP="00DA7340">
      <w:pPr>
        <w:spacing w:after="80"/>
        <w:ind w:left="1440" w:firstLine="720"/>
        <w:rPr>
          <w:rFonts w:ascii="Bookman Old Style" w:hAnsi="Bookman Old Style"/>
          <w:sz w:val="20"/>
          <w:szCs w:val="20"/>
        </w:rPr>
      </w:pPr>
      <w:r w:rsidRPr="00C24707">
        <w:rPr>
          <w:rFonts w:ascii="Bookman Old Style" w:hAnsi="Bookman Old Style"/>
          <w:sz w:val="20"/>
          <w:szCs w:val="20"/>
        </w:rPr>
        <w:t>only 100% of its taxes in 2024 ....................</w:t>
      </w:r>
      <w:r>
        <w:rPr>
          <w:rFonts w:ascii="Bookman Old Style" w:hAnsi="Bookman Old Style"/>
          <w:sz w:val="20"/>
          <w:szCs w:val="20"/>
        </w:rPr>
        <w:t>.............</w:t>
      </w:r>
      <w:r w:rsidRPr="00C24707">
        <w:rPr>
          <w:rFonts w:ascii="Bookman Old Style" w:hAnsi="Bookman Old Style"/>
          <w:sz w:val="20"/>
          <w:szCs w:val="20"/>
        </w:rPr>
        <w:t>................ $0</w:t>
      </w:r>
    </w:p>
    <w:p w14:paraId="60259757" w14:textId="7910B1EC" w:rsidR="00DA7340" w:rsidRPr="00C24707" w:rsidRDefault="00DA7340" w:rsidP="00DA7340">
      <w:pPr>
        <w:spacing w:after="80"/>
        <w:ind w:firstLine="720"/>
        <w:rPr>
          <w:rFonts w:ascii="Bookman Old Style" w:hAnsi="Bookman Old Style"/>
          <w:sz w:val="20"/>
          <w:szCs w:val="20"/>
        </w:rPr>
      </w:pPr>
      <w:r w:rsidRPr="00C24707">
        <w:rPr>
          <w:rFonts w:ascii="Bookman Old Style" w:hAnsi="Bookman Old Style"/>
          <w:sz w:val="20"/>
          <w:szCs w:val="20"/>
        </w:rPr>
        <w:t>= Total Debt Levy ................................................................................</w:t>
      </w:r>
      <w:r>
        <w:rPr>
          <w:rFonts w:ascii="Bookman Old Style" w:hAnsi="Bookman Old Style"/>
          <w:sz w:val="20"/>
          <w:szCs w:val="20"/>
        </w:rPr>
        <w:t>..</w:t>
      </w:r>
      <w:r w:rsidRPr="00C24707">
        <w:rPr>
          <w:rFonts w:ascii="Bookman Old Style" w:hAnsi="Bookman Old Style"/>
          <w:sz w:val="20"/>
          <w:szCs w:val="20"/>
        </w:rPr>
        <w:t>......... $ 1,7</w:t>
      </w:r>
      <w:r>
        <w:rPr>
          <w:rFonts w:ascii="Bookman Old Style" w:hAnsi="Bookman Old Style"/>
          <w:sz w:val="20"/>
          <w:szCs w:val="20"/>
        </w:rPr>
        <w:t>86</w:t>
      </w:r>
      <w:r w:rsidRPr="00C24707">
        <w:rPr>
          <w:rFonts w:ascii="Bookman Old Style" w:hAnsi="Bookman Old Style"/>
          <w:sz w:val="20"/>
          <w:szCs w:val="20"/>
        </w:rPr>
        <w:t>,2</w:t>
      </w:r>
      <w:r>
        <w:rPr>
          <w:rFonts w:ascii="Bookman Old Style" w:hAnsi="Bookman Old Style"/>
          <w:sz w:val="20"/>
          <w:szCs w:val="20"/>
        </w:rPr>
        <w:t>10</w:t>
      </w:r>
    </w:p>
    <w:p w14:paraId="1D2BC963" w14:textId="77777777" w:rsidR="00DA7340" w:rsidRPr="00C24707" w:rsidRDefault="00DA7340" w:rsidP="00DA7340">
      <w:pPr>
        <w:spacing w:after="80"/>
        <w:rPr>
          <w:rFonts w:ascii="Bookman Old Style" w:hAnsi="Bookman Old Style"/>
          <w:sz w:val="20"/>
          <w:szCs w:val="20"/>
        </w:rPr>
      </w:pPr>
    </w:p>
    <w:p w14:paraId="33D99A35" w14:textId="0DA11B48" w:rsidR="00DA7340" w:rsidRPr="00C24707" w:rsidRDefault="00DA7340" w:rsidP="00DA7340">
      <w:pPr>
        <w:pBdr>
          <w:top w:val="single" w:sz="4" w:space="1" w:color="auto"/>
        </w:pBdr>
        <w:spacing w:after="80"/>
        <w:rPr>
          <w:rFonts w:ascii="Bookman Old Style" w:hAnsi="Bookman Old Style"/>
          <w:sz w:val="20"/>
          <w:szCs w:val="20"/>
        </w:rPr>
      </w:pPr>
      <w:r w:rsidRPr="00C24707">
        <w:rPr>
          <w:rFonts w:ascii="Bookman Old Style" w:hAnsi="Bookman Old Style"/>
          <w:sz w:val="20"/>
          <w:szCs w:val="20"/>
        </w:rPr>
        <w:t xml:space="preserve">This notice contains a summary of the no-new-revenue and voter-approval calculations as certified by </w:t>
      </w:r>
      <w:r w:rsidRPr="00DA7340">
        <w:rPr>
          <w:rFonts w:ascii="Bookman Old Style" w:hAnsi="Bookman Old Style"/>
          <w:sz w:val="20"/>
          <w:szCs w:val="20"/>
        </w:rPr>
        <w:t>Mark Powers</w:t>
      </w:r>
      <w:r w:rsidRPr="00C24707">
        <w:rPr>
          <w:rFonts w:ascii="Bookman Old Style" w:hAnsi="Bookman Old Style"/>
          <w:sz w:val="20"/>
          <w:szCs w:val="20"/>
        </w:rPr>
        <w:t>, Chief Appraiser, Deaf Smith County Appraisal District 8/1/202</w:t>
      </w:r>
      <w:r>
        <w:rPr>
          <w:rFonts w:ascii="Bookman Old Style" w:hAnsi="Bookman Old Style"/>
          <w:sz w:val="20"/>
          <w:szCs w:val="20"/>
        </w:rPr>
        <w:t>5</w:t>
      </w:r>
      <w:r w:rsidRPr="00C24707">
        <w:rPr>
          <w:rFonts w:ascii="Bookman Old Style" w:hAnsi="Bookman Old Style"/>
          <w:sz w:val="20"/>
          <w:szCs w:val="20"/>
        </w:rPr>
        <w:t xml:space="preserve">. </w:t>
      </w:r>
    </w:p>
    <w:p w14:paraId="3F30D8A0" w14:textId="77777777" w:rsidR="00845960" w:rsidRDefault="00845960"/>
    <w:sectPr w:rsidR="00845960" w:rsidSect="00DA73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40"/>
    <w:rsid w:val="003D7A56"/>
    <w:rsid w:val="007E4389"/>
    <w:rsid w:val="00845960"/>
    <w:rsid w:val="00A75208"/>
    <w:rsid w:val="00CF4E09"/>
    <w:rsid w:val="00DA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998B"/>
  <w15:chartTrackingRefBased/>
  <w15:docId w15:val="{5C3F4AB0-BFB5-4F75-B951-2DE97E7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340"/>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A734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734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734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734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A734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A734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A734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A734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A734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340"/>
    <w:rPr>
      <w:rFonts w:eastAsiaTheme="majorEastAsia" w:cstheme="majorBidi"/>
      <w:color w:val="272727" w:themeColor="text1" w:themeTint="D8"/>
    </w:rPr>
  </w:style>
  <w:style w:type="paragraph" w:styleId="Title">
    <w:name w:val="Title"/>
    <w:basedOn w:val="Normal"/>
    <w:next w:val="Normal"/>
    <w:link w:val="TitleChar"/>
    <w:uiPriority w:val="10"/>
    <w:qFormat/>
    <w:rsid w:val="00DA73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7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34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7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34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A7340"/>
    <w:rPr>
      <w:i/>
      <w:iCs/>
      <w:color w:val="404040" w:themeColor="text1" w:themeTint="BF"/>
    </w:rPr>
  </w:style>
  <w:style w:type="paragraph" w:styleId="ListParagraph">
    <w:name w:val="List Paragraph"/>
    <w:basedOn w:val="Normal"/>
    <w:uiPriority w:val="34"/>
    <w:qFormat/>
    <w:rsid w:val="00DA734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A7340"/>
    <w:rPr>
      <w:i/>
      <w:iCs/>
      <w:color w:val="0F4761" w:themeColor="accent1" w:themeShade="BF"/>
    </w:rPr>
  </w:style>
  <w:style w:type="paragraph" w:styleId="IntenseQuote">
    <w:name w:val="Intense Quote"/>
    <w:basedOn w:val="Normal"/>
    <w:next w:val="Normal"/>
    <w:link w:val="IntenseQuoteChar"/>
    <w:uiPriority w:val="30"/>
    <w:qFormat/>
    <w:rsid w:val="00DA734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A7340"/>
    <w:rPr>
      <w:i/>
      <w:iCs/>
      <w:color w:val="0F4761" w:themeColor="accent1" w:themeShade="BF"/>
    </w:rPr>
  </w:style>
  <w:style w:type="character" w:styleId="IntenseReference">
    <w:name w:val="Intense Reference"/>
    <w:basedOn w:val="DefaultParagraphFont"/>
    <w:uiPriority w:val="32"/>
    <w:qFormat/>
    <w:rsid w:val="00DA7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403</Words>
  <Characters>2301</Characters>
  <Application>Microsoft Office Word</Application>
  <DocSecurity>4</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Powers</dc:creator>
  <cp:keywords/>
  <dc:description/>
  <cp:lastModifiedBy>Paul Gafford</cp:lastModifiedBy>
  <cp:revision>2</cp:revision>
  <dcterms:created xsi:type="dcterms:W3CDTF">2025-08-14T13:39:00Z</dcterms:created>
  <dcterms:modified xsi:type="dcterms:W3CDTF">2025-08-14T13:39:00Z</dcterms:modified>
</cp:coreProperties>
</file>